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BFCE8" w14:textId="15771602" w:rsidR="00A03204" w:rsidRDefault="008F718F" w:rsidP="00797137">
      <w:pPr>
        <w:pStyle w:val="ListParagraph"/>
        <w:widowControl w:val="0"/>
        <w:numPr>
          <w:ilvl w:val="0"/>
          <w:numId w:val="6"/>
        </w:numPr>
        <w:tabs>
          <w:tab w:val="left" w:pos="701"/>
        </w:tabs>
        <w:autoSpaceDE w:val="0"/>
        <w:autoSpaceDN w:val="0"/>
        <w:spacing w:before="240" w:after="0" w:line="240" w:lineRule="auto"/>
        <w:ind w:left="360"/>
        <w:contextualSpacing w:val="0"/>
        <w:jc w:val="both"/>
      </w:pPr>
      <w:bookmarkStart w:id="0" w:name="_GoBack"/>
      <w:bookmarkEnd w:id="0"/>
      <w:r w:rsidRPr="004015B6">
        <w:rPr>
          <w:rFonts w:ascii="Arial" w:hAnsi="Arial" w:cs="Arial"/>
        </w:rPr>
        <w:t>Queensland is the front-line state for dealing with biosecurity threats because of the suitability of its climate and geography for the establishment and spread of many pests and diseases and its proximity to northern neighbours and extensive coastline. Queensland’s biosecurity system faces challenges that are increasing in intensity and complexity as a result of the increase in global trade and movement of people.</w:t>
      </w:r>
    </w:p>
    <w:p w14:paraId="0E49B3C4" w14:textId="77777777" w:rsidR="008F718F" w:rsidRPr="004015B6" w:rsidRDefault="008F718F" w:rsidP="00797137">
      <w:pPr>
        <w:pStyle w:val="ListParagraph"/>
        <w:widowControl w:val="0"/>
        <w:numPr>
          <w:ilvl w:val="0"/>
          <w:numId w:val="6"/>
        </w:numPr>
        <w:tabs>
          <w:tab w:val="left" w:pos="701"/>
        </w:tabs>
        <w:autoSpaceDE w:val="0"/>
        <w:autoSpaceDN w:val="0"/>
        <w:spacing w:before="240" w:after="0" w:line="240" w:lineRule="auto"/>
        <w:ind w:left="357" w:hanging="357"/>
        <w:contextualSpacing w:val="0"/>
        <w:jc w:val="both"/>
        <w:rPr>
          <w:rFonts w:ascii="Arial" w:hAnsi="Arial" w:cs="Arial"/>
        </w:rPr>
      </w:pPr>
      <w:r w:rsidRPr="004015B6">
        <w:rPr>
          <w:rFonts w:ascii="Arial" w:hAnsi="Arial" w:cs="Arial"/>
        </w:rPr>
        <w:t>The</w:t>
      </w:r>
      <w:r w:rsidRPr="004015B6">
        <w:rPr>
          <w:rFonts w:ascii="Arial" w:hAnsi="Arial" w:cs="Arial"/>
          <w:spacing w:val="-6"/>
        </w:rPr>
        <w:t xml:space="preserve"> </w:t>
      </w:r>
      <w:r w:rsidRPr="004015B6">
        <w:rPr>
          <w:rFonts w:ascii="Arial" w:hAnsi="Arial" w:cs="Arial"/>
          <w:i/>
        </w:rPr>
        <w:t>Queensland</w:t>
      </w:r>
      <w:r w:rsidRPr="004015B6">
        <w:rPr>
          <w:rFonts w:ascii="Arial" w:hAnsi="Arial" w:cs="Arial"/>
          <w:i/>
          <w:spacing w:val="-5"/>
        </w:rPr>
        <w:t xml:space="preserve"> </w:t>
      </w:r>
      <w:r w:rsidRPr="004015B6">
        <w:rPr>
          <w:rFonts w:ascii="Arial" w:hAnsi="Arial" w:cs="Arial"/>
          <w:i/>
        </w:rPr>
        <w:t>Biosecurity</w:t>
      </w:r>
      <w:r w:rsidRPr="004015B6">
        <w:rPr>
          <w:rFonts w:ascii="Arial" w:hAnsi="Arial" w:cs="Arial"/>
          <w:i/>
          <w:spacing w:val="-2"/>
        </w:rPr>
        <w:t xml:space="preserve"> </w:t>
      </w:r>
      <w:r w:rsidRPr="004015B6">
        <w:rPr>
          <w:rFonts w:ascii="Arial" w:hAnsi="Arial" w:cs="Arial"/>
          <w:i/>
        </w:rPr>
        <w:t>Strategy:</w:t>
      </w:r>
      <w:r w:rsidRPr="004015B6">
        <w:rPr>
          <w:rFonts w:ascii="Arial" w:hAnsi="Arial" w:cs="Arial"/>
          <w:i/>
          <w:spacing w:val="-6"/>
        </w:rPr>
        <w:t xml:space="preserve"> </w:t>
      </w:r>
      <w:r w:rsidRPr="004015B6">
        <w:rPr>
          <w:rFonts w:ascii="Arial" w:hAnsi="Arial" w:cs="Arial"/>
          <w:i/>
        </w:rPr>
        <w:t>Our</w:t>
      </w:r>
      <w:r w:rsidRPr="004015B6">
        <w:rPr>
          <w:rFonts w:ascii="Arial" w:hAnsi="Arial" w:cs="Arial"/>
          <w:i/>
          <w:spacing w:val="-5"/>
        </w:rPr>
        <w:t xml:space="preserve"> </w:t>
      </w:r>
      <w:r w:rsidRPr="004015B6">
        <w:rPr>
          <w:rFonts w:ascii="Arial" w:hAnsi="Arial" w:cs="Arial"/>
          <w:i/>
        </w:rPr>
        <w:t>Next</w:t>
      </w:r>
      <w:r w:rsidRPr="004015B6">
        <w:rPr>
          <w:rFonts w:ascii="Arial" w:hAnsi="Arial" w:cs="Arial"/>
          <w:i/>
          <w:spacing w:val="-7"/>
        </w:rPr>
        <w:t xml:space="preserve"> </w:t>
      </w:r>
      <w:r w:rsidRPr="004015B6">
        <w:rPr>
          <w:rFonts w:ascii="Arial" w:hAnsi="Arial" w:cs="Arial"/>
          <w:i/>
        </w:rPr>
        <w:t>Five</w:t>
      </w:r>
      <w:r w:rsidRPr="004015B6">
        <w:rPr>
          <w:rFonts w:ascii="Arial" w:hAnsi="Arial" w:cs="Arial"/>
          <w:i/>
          <w:spacing w:val="-3"/>
        </w:rPr>
        <w:t xml:space="preserve"> </w:t>
      </w:r>
      <w:r w:rsidRPr="004015B6">
        <w:rPr>
          <w:rFonts w:ascii="Arial" w:hAnsi="Arial" w:cs="Arial"/>
          <w:i/>
        </w:rPr>
        <w:t>Years</w:t>
      </w:r>
      <w:r w:rsidRPr="004015B6">
        <w:rPr>
          <w:rFonts w:ascii="Arial" w:hAnsi="Arial" w:cs="Arial"/>
          <w:i/>
          <w:spacing w:val="-5"/>
        </w:rPr>
        <w:t xml:space="preserve"> </w:t>
      </w:r>
      <w:r w:rsidRPr="004015B6">
        <w:rPr>
          <w:rFonts w:ascii="Arial" w:hAnsi="Arial" w:cs="Arial"/>
          <w:i/>
        </w:rPr>
        <w:t>(2018</w:t>
      </w:r>
      <w:r w:rsidRPr="004015B6">
        <w:rPr>
          <w:rFonts w:ascii="Arial" w:hAnsi="Arial" w:cs="Arial"/>
          <w:i/>
          <w:spacing w:val="-5"/>
        </w:rPr>
        <w:t xml:space="preserve"> </w:t>
      </w:r>
      <w:r w:rsidRPr="004015B6">
        <w:rPr>
          <w:rFonts w:ascii="Arial" w:hAnsi="Arial" w:cs="Arial"/>
          <w:i/>
        </w:rPr>
        <w:t>-</w:t>
      </w:r>
      <w:r w:rsidRPr="004015B6">
        <w:rPr>
          <w:rFonts w:ascii="Arial" w:hAnsi="Arial" w:cs="Arial"/>
          <w:i/>
          <w:spacing w:val="-2"/>
        </w:rPr>
        <w:t xml:space="preserve"> </w:t>
      </w:r>
      <w:r w:rsidRPr="004015B6">
        <w:rPr>
          <w:rFonts w:ascii="Arial" w:hAnsi="Arial" w:cs="Arial"/>
          <w:i/>
        </w:rPr>
        <w:t>2023)</w:t>
      </w:r>
      <w:r w:rsidRPr="004015B6">
        <w:rPr>
          <w:rFonts w:ascii="Arial" w:hAnsi="Arial" w:cs="Arial"/>
        </w:rPr>
        <w:t xml:space="preserve"> </w:t>
      </w:r>
      <w:r w:rsidRPr="004015B6">
        <w:rPr>
          <w:rFonts w:ascii="Arial" w:hAnsi="Arial" w:cs="Arial"/>
          <w:spacing w:val="-4"/>
        </w:rPr>
        <w:t xml:space="preserve">establishes </w:t>
      </w:r>
      <w:r w:rsidRPr="004015B6">
        <w:rPr>
          <w:rFonts w:ascii="Arial" w:hAnsi="Arial" w:cs="Arial"/>
        </w:rPr>
        <w:t xml:space="preserve">a new </w:t>
      </w:r>
      <w:r w:rsidRPr="004015B6">
        <w:rPr>
          <w:rFonts w:ascii="Arial" w:hAnsi="Arial" w:cs="Arial"/>
          <w:spacing w:val="-4"/>
        </w:rPr>
        <w:t xml:space="preserve">vision </w:t>
      </w:r>
      <w:r w:rsidRPr="004015B6">
        <w:rPr>
          <w:rFonts w:ascii="Arial" w:hAnsi="Arial" w:cs="Arial"/>
        </w:rPr>
        <w:t xml:space="preserve">and </w:t>
      </w:r>
      <w:r w:rsidRPr="004015B6">
        <w:rPr>
          <w:rFonts w:ascii="Arial" w:hAnsi="Arial" w:cs="Arial"/>
          <w:spacing w:val="-4"/>
        </w:rPr>
        <w:t xml:space="preserve">series </w:t>
      </w:r>
      <w:r w:rsidRPr="004015B6">
        <w:rPr>
          <w:rFonts w:ascii="Arial" w:hAnsi="Arial" w:cs="Arial"/>
          <w:spacing w:val="-3"/>
        </w:rPr>
        <w:t xml:space="preserve">of </w:t>
      </w:r>
      <w:r w:rsidRPr="004015B6">
        <w:rPr>
          <w:rFonts w:ascii="Arial" w:hAnsi="Arial" w:cs="Arial"/>
          <w:spacing w:val="-4"/>
        </w:rPr>
        <w:t>directions</w:t>
      </w:r>
      <w:r w:rsidRPr="004015B6">
        <w:rPr>
          <w:rFonts w:ascii="Arial" w:hAnsi="Arial" w:cs="Arial"/>
          <w:spacing w:val="-17"/>
        </w:rPr>
        <w:t xml:space="preserve"> </w:t>
      </w:r>
      <w:r w:rsidRPr="004015B6">
        <w:rPr>
          <w:rFonts w:ascii="Arial" w:hAnsi="Arial" w:cs="Arial"/>
          <w:spacing w:val="-3"/>
        </w:rPr>
        <w:t>for</w:t>
      </w:r>
      <w:r w:rsidRPr="004015B6">
        <w:rPr>
          <w:rFonts w:ascii="Arial" w:hAnsi="Arial" w:cs="Arial"/>
          <w:spacing w:val="-13"/>
        </w:rPr>
        <w:t xml:space="preserve"> </w:t>
      </w:r>
      <w:r w:rsidRPr="004015B6">
        <w:rPr>
          <w:rFonts w:ascii="Arial" w:hAnsi="Arial" w:cs="Arial"/>
          <w:spacing w:val="-3"/>
        </w:rPr>
        <w:t>all</w:t>
      </w:r>
      <w:r w:rsidRPr="004015B6">
        <w:rPr>
          <w:rFonts w:ascii="Arial" w:hAnsi="Arial" w:cs="Arial"/>
          <w:spacing w:val="-13"/>
        </w:rPr>
        <w:t xml:space="preserve"> </w:t>
      </w:r>
      <w:r w:rsidRPr="004015B6">
        <w:rPr>
          <w:rFonts w:ascii="Arial" w:hAnsi="Arial" w:cs="Arial"/>
          <w:spacing w:val="-4"/>
        </w:rPr>
        <w:t>entities</w:t>
      </w:r>
      <w:r w:rsidRPr="004015B6">
        <w:rPr>
          <w:rFonts w:ascii="Arial" w:hAnsi="Arial" w:cs="Arial"/>
          <w:spacing w:val="-14"/>
        </w:rPr>
        <w:t xml:space="preserve"> </w:t>
      </w:r>
      <w:r w:rsidRPr="004015B6">
        <w:rPr>
          <w:rFonts w:ascii="Arial" w:hAnsi="Arial" w:cs="Arial"/>
          <w:spacing w:val="-3"/>
        </w:rPr>
        <w:t>across</w:t>
      </w:r>
      <w:r w:rsidRPr="004015B6">
        <w:rPr>
          <w:rFonts w:ascii="Arial" w:hAnsi="Arial" w:cs="Arial"/>
          <w:spacing w:val="-15"/>
        </w:rPr>
        <w:t xml:space="preserve"> </w:t>
      </w:r>
      <w:r w:rsidRPr="004015B6">
        <w:rPr>
          <w:rFonts w:ascii="Arial" w:hAnsi="Arial" w:cs="Arial"/>
          <w:spacing w:val="-3"/>
        </w:rPr>
        <w:t>the</w:t>
      </w:r>
      <w:r w:rsidRPr="004015B6">
        <w:rPr>
          <w:rFonts w:ascii="Arial" w:hAnsi="Arial" w:cs="Arial"/>
          <w:spacing w:val="-15"/>
        </w:rPr>
        <w:t xml:space="preserve"> </w:t>
      </w:r>
      <w:r w:rsidRPr="004015B6">
        <w:rPr>
          <w:rFonts w:ascii="Arial" w:hAnsi="Arial" w:cs="Arial"/>
          <w:spacing w:val="-4"/>
        </w:rPr>
        <w:t>biosecurity</w:t>
      </w:r>
      <w:r w:rsidRPr="004015B6">
        <w:rPr>
          <w:rFonts w:ascii="Arial" w:hAnsi="Arial" w:cs="Arial"/>
          <w:spacing w:val="-14"/>
        </w:rPr>
        <w:t xml:space="preserve"> </w:t>
      </w:r>
      <w:r w:rsidRPr="004015B6">
        <w:rPr>
          <w:rFonts w:ascii="Arial" w:hAnsi="Arial" w:cs="Arial"/>
          <w:spacing w:val="-4"/>
        </w:rPr>
        <w:t>system</w:t>
      </w:r>
      <w:r w:rsidRPr="004015B6">
        <w:rPr>
          <w:rFonts w:ascii="Arial" w:hAnsi="Arial" w:cs="Arial"/>
          <w:spacing w:val="-14"/>
        </w:rPr>
        <w:t xml:space="preserve"> </w:t>
      </w:r>
      <w:r w:rsidRPr="004015B6">
        <w:rPr>
          <w:rFonts w:ascii="Arial" w:hAnsi="Arial" w:cs="Arial"/>
        </w:rPr>
        <w:t>in</w:t>
      </w:r>
      <w:r w:rsidRPr="004015B6">
        <w:rPr>
          <w:rFonts w:ascii="Arial" w:hAnsi="Arial" w:cs="Arial"/>
          <w:spacing w:val="-15"/>
        </w:rPr>
        <w:t xml:space="preserve"> </w:t>
      </w:r>
      <w:r w:rsidRPr="004015B6">
        <w:rPr>
          <w:rFonts w:ascii="Arial" w:hAnsi="Arial" w:cs="Arial"/>
          <w:spacing w:val="-4"/>
        </w:rPr>
        <w:t>Queensland</w:t>
      </w:r>
      <w:r w:rsidRPr="004015B6">
        <w:rPr>
          <w:rFonts w:ascii="Arial" w:hAnsi="Arial" w:cs="Arial"/>
          <w:spacing w:val="-13"/>
        </w:rPr>
        <w:t xml:space="preserve"> </w:t>
      </w:r>
      <w:r w:rsidRPr="004015B6">
        <w:rPr>
          <w:rFonts w:ascii="Arial" w:hAnsi="Arial" w:cs="Arial"/>
          <w:spacing w:val="-4"/>
        </w:rPr>
        <w:t>over</w:t>
      </w:r>
      <w:r w:rsidRPr="004015B6">
        <w:rPr>
          <w:rFonts w:ascii="Arial" w:hAnsi="Arial" w:cs="Arial"/>
          <w:spacing w:val="-14"/>
        </w:rPr>
        <w:t xml:space="preserve"> </w:t>
      </w:r>
      <w:r w:rsidRPr="004015B6">
        <w:rPr>
          <w:rFonts w:ascii="Arial" w:hAnsi="Arial" w:cs="Arial"/>
          <w:spacing w:val="-3"/>
        </w:rPr>
        <w:t>the</w:t>
      </w:r>
      <w:r w:rsidRPr="004015B6">
        <w:rPr>
          <w:rFonts w:ascii="Arial" w:hAnsi="Arial" w:cs="Arial"/>
          <w:spacing w:val="-17"/>
        </w:rPr>
        <w:t xml:space="preserve"> </w:t>
      </w:r>
      <w:r w:rsidRPr="004015B6">
        <w:rPr>
          <w:rFonts w:ascii="Arial" w:hAnsi="Arial" w:cs="Arial"/>
          <w:spacing w:val="-3"/>
        </w:rPr>
        <w:t>next</w:t>
      </w:r>
      <w:r w:rsidRPr="004015B6">
        <w:rPr>
          <w:rFonts w:ascii="Arial" w:hAnsi="Arial" w:cs="Arial"/>
          <w:spacing w:val="-13"/>
        </w:rPr>
        <w:t xml:space="preserve"> </w:t>
      </w:r>
      <w:r w:rsidRPr="004015B6">
        <w:rPr>
          <w:rFonts w:ascii="Arial" w:hAnsi="Arial" w:cs="Arial"/>
          <w:spacing w:val="-3"/>
        </w:rPr>
        <w:t>five</w:t>
      </w:r>
      <w:r w:rsidRPr="004015B6">
        <w:rPr>
          <w:rFonts w:ascii="Arial" w:hAnsi="Arial" w:cs="Arial"/>
          <w:spacing w:val="-13"/>
        </w:rPr>
        <w:t xml:space="preserve"> </w:t>
      </w:r>
      <w:r w:rsidRPr="004015B6">
        <w:rPr>
          <w:rFonts w:ascii="Arial" w:hAnsi="Arial" w:cs="Arial"/>
          <w:spacing w:val="-4"/>
        </w:rPr>
        <w:t>years.</w:t>
      </w:r>
    </w:p>
    <w:p w14:paraId="6459CE50" w14:textId="1177B691" w:rsidR="008F718F" w:rsidRPr="004015B6" w:rsidRDefault="008F718F" w:rsidP="00797137">
      <w:pPr>
        <w:pStyle w:val="ListParagraph"/>
        <w:widowControl w:val="0"/>
        <w:numPr>
          <w:ilvl w:val="0"/>
          <w:numId w:val="6"/>
        </w:numPr>
        <w:tabs>
          <w:tab w:val="left" w:pos="701"/>
        </w:tabs>
        <w:autoSpaceDE w:val="0"/>
        <w:autoSpaceDN w:val="0"/>
        <w:spacing w:before="240" w:after="0" w:line="240" w:lineRule="auto"/>
        <w:ind w:left="360"/>
        <w:contextualSpacing w:val="0"/>
        <w:jc w:val="both"/>
        <w:rPr>
          <w:rFonts w:ascii="Arial" w:hAnsi="Arial" w:cs="Arial"/>
        </w:rPr>
      </w:pPr>
      <w:r w:rsidRPr="004015B6">
        <w:rPr>
          <w:rFonts w:ascii="Arial" w:hAnsi="Arial" w:cs="Arial"/>
        </w:rPr>
        <w:t xml:space="preserve">The six strategic </w:t>
      </w:r>
      <w:r w:rsidR="00190C43">
        <w:rPr>
          <w:rFonts w:ascii="Arial" w:hAnsi="Arial" w:cs="Arial"/>
        </w:rPr>
        <w:t>themes of the Strategy are: (i) </w:t>
      </w:r>
      <w:r w:rsidRPr="004015B6">
        <w:rPr>
          <w:rFonts w:ascii="Arial" w:hAnsi="Arial" w:cs="Arial"/>
        </w:rPr>
        <w:t xml:space="preserve">Collaborative </w:t>
      </w:r>
      <w:r w:rsidR="00190C43">
        <w:rPr>
          <w:rFonts w:ascii="Arial" w:hAnsi="Arial" w:cs="Arial"/>
        </w:rPr>
        <w:t>governance and leadership; (ii) </w:t>
      </w:r>
      <w:r w:rsidRPr="004015B6">
        <w:rPr>
          <w:rFonts w:ascii="Arial" w:hAnsi="Arial" w:cs="Arial"/>
        </w:rPr>
        <w:t>Every Queenslander plays their part; (iii) Empowered to act; (iv) Bright ideas and better ways; (v) Valuing and building on our investments; and (vi) Better intelligence systems.</w:t>
      </w:r>
    </w:p>
    <w:p w14:paraId="72182BF5" w14:textId="06D2EEE5" w:rsidR="008F718F" w:rsidRPr="004015B6" w:rsidRDefault="008F718F" w:rsidP="00797137">
      <w:pPr>
        <w:pStyle w:val="ListParagraph"/>
        <w:widowControl w:val="0"/>
        <w:numPr>
          <w:ilvl w:val="0"/>
          <w:numId w:val="6"/>
        </w:numPr>
        <w:tabs>
          <w:tab w:val="left" w:pos="701"/>
        </w:tabs>
        <w:autoSpaceDE w:val="0"/>
        <w:autoSpaceDN w:val="0"/>
        <w:spacing w:before="240" w:after="0" w:line="240" w:lineRule="auto"/>
        <w:ind w:left="360"/>
        <w:contextualSpacing w:val="0"/>
        <w:jc w:val="both"/>
        <w:rPr>
          <w:rFonts w:ascii="Arial" w:hAnsi="Arial" w:cs="Arial"/>
        </w:rPr>
      </w:pPr>
      <w:r w:rsidRPr="004015B6">
        <w:rPr>
          <w:rFonts w:ascii="Arial" w:hAnsi="Arial" w:cs="Arial"/>
        </w:rPr>
        <w:t xml:space="preserve">On 9 May 2017, the Queensland Audit Office released the </w:t>
      </w:r>
      <w:r w:rsidRPr="004015B6">
        <w:rPr>
          <w:rFonts w:ascii="Arial" w:hAnsi="Arial" w:cs="Arial"/>
          <w:i/>
        </w:rPr>
        <w:t>Auditor-General’s report 12: 2016-17 Biosecurity Queensland’s Management of agricultural pests and diseases</w:t>
      </w:r>
      <w:r w:rsidRPr="004015B6">
        <w:rPr>
          <w:rFonts w:ascii="Arial" w:hAnsi="Arial" w:cs="Arial"/>
        </w:rPr>
        <w:t>. The Agriculture and En</w:t>
      </w:r>
      <w:r w:rsidR="00190C43">
        <w:rPr>
          <w:rFonts w:ascii="Arial" w:hAnsi="Arial" w:cs="Arial"/>
        </w:rPr>
        <w:t>vironment Committee tabled its R</w:t>
      </w:r>
      <w:r w:rsidRPr="004015B6">
        <w:rPr>
          <w:rFonts w:ascii="Arial" w:hAnsi="Arial" w:cs="Arial"/>
        </w:rPr>
        <w:t xml:space="preserve">eport </w:t>
      </w:r>
      <w:r w:rsidR="00190C43">
        <w:rPr>
          <w:rFonts w:ascii="Arial" w:hAnsi="Arial" w:cs="Arial"/>
        </w:rPr>
        <w:t xml:space="preserve">No. 42 </w:t>
      </w:r>
      <w:r>
        <w:rPr>
          <w:rFonts w:ascii="Arial" w:hAnsi="Arial" w:cs="Arial"/>
        </w:rPr>
        <w:t xml:space="preserve">regarding the audit report on </w:t>
      </w:r>
      <w:r w:rsidRPr="004015B6">
        <w:rPr>
          <w:rFonts w:ascii="Arial" w:hAnsi="Arial" w:cs="Arial"/>
        </w:rPr>
        <w:t>30 August</w:t>
      </w:r>
      <w:r w:rsidRPr="004015B6">
        <w:rPr>
          <w:rFonts w:ascii="Arial" w:hAnsi="Arial" w:cs="Arial"/>
          <w:spacing w:val="-2"/>
        </w:rPr>
        <w:t xml:space="preserve"> </w:t>
      </w:r>
      <w:r w:rsidRPr="004015B6">
        <w:rPr>
          <w:rFonts w:ascii="Arial" w:hAnsi="Arial" w:cs="Arial"/>
        </w:rPr>
        <w:t>2017.</w:t>
      </w:r>
    </w:p>
    <w:p w14:paraId="5FD037F2" w14:textId="77777777" w:rsidR="008F718F" w:rsidRPr="004015B6" w:rsidRDefault="008F718F" w:rsidP="00797137">
      <w:pPr>
        <w:pStyle w:val="ListParagraph"/>
        <w:widowControl w:val="0"/>
        <w:numPr>
          <w:ilvl w:val="0"/>
          <w:numId w:val="6"/>
        </w:numPr>
        <w:tabs>
          <w:tab w:val="left" w:pos="701"/>
        </w:tabs>
        <w:autoSpaceDE w:val="0"/>
        <w:autoSpaceDN w:val="0"/>
        <w:spacing w:before="240" w:after="0" w:line="240" w:lineRule="auto"/>
        <w:ind w:left="360"/>
        <w:contextualSpacing w:val="0"/>
        <w:jc w:val="both"/>
        <w:rPr>
          <w:rFonts w:ascii="Arial" w:hAnsi="Arial" w:cs="Arial"/>
        </w:rPr>
      </w:pPr>
      <w:r w:rsidRPr="004015B6">
        <w:rPr>
          <w:rFonts w:ascii="Arial" w:hAnsi="Arial" w:cs="Arial"/>
        </w:rPr>
        <w:t>The Government r</w:t>
      </w:r>
      <w:r>
        <w:rPr>
          <w:rFonts w:ascii="Arial" w:hAnsi="Arial" w:cs="Arial"/>
        </w:rPr>
        <w:t>esponse to the report includes:</w:t>
      </w:r>
    </w:p>
    <w:p w14:paraId="51FF31B4" w14:textId="14941AD4" w:rsidR="00442810" w:rsidRPr="004015B6" w:rsidRDefault="00A03204" w:rsidP="00797137">
      <w:pPr>
        <w:pStyle w:val="ListParagraph"/>
        <w:widowControl w:val="0"/>
        <w:numPr>
          <w:ilvl w:val="1"/>
          <w:numId w:val="6"/>
        </w:numPr>
        <w:tabs>
          <w:tab w:val="left" w:pos="1060"/>
          <w:tab w:val="left" w:pos="1061"/>
        </w:tabs>
        <w:autoSpaceDE w:val="0"/>
        <w:autoSpaceDN w:val="0"/>
        <w:spacing w:before="120" w:after="0" w:line="240" w:lineRule="auto"/>
        <w:ind w:left="714" w:hanging="357"/>
        <w:contextualSpacing w:val="0"/>
        <w:jc w:val="both"/>
        <w:rPr>
          <w:rFonts w:ascii="Arial" w:hAnsi="Arial" w:cs="Arial"/>
        </w:rPr>
      </w:pPr>
      <w:r>
        <w:rPr>
          <w:rFonts w:ascii="Arial" w:hAnsi="Arial" w:cs="Arial"/>
        </w:rPr>
        <w:t>A</w:t>
      </w:r>
      <w:r w:rsidR="00442810" w:rsidRPr="004015B6">
        <w:rPr>
          <w:rFonts w:ascii="Arial" w:hAnsi="Arial" w:cs="Arial"/>
        </w:rPr>
        <w:t xml:space="preserve">ll biosecurity responses are now managed on the completed $19.4 million Biosecurity Information Management System Program (BIMS). Surveillance by Biosecurity Queensland (BQ) officers is digitally captured directly in the field and available to decision makers within minutes. Work is underway to extend the use of BQ’s laboratory information management system to other BQ laboratories to improve the quality of diagnostic information. </w:t>
      </w:r>
    </w:p>
    <w:p w14:paraId="4622AAB8" w14:textId="77777777" w:rsidR="00442810" w:rsidRPr="004015B6" w:rsidRDefault="00442810" w:rsidP="00797137">
      <w:pPr>
        <w:pStyle w:val="ListParagraph"/>
        <w:widowControl w:val="0"/>
        <w:numPr>
          <w:ilvl w:val="1"/>
          <w:numId w:val="6"/>
        </w:numPr>
        <w:tabs>
          <w:tab w:val="left" w:pos="1060"/>
          <w:tab w:val="left" w:pos="1061"/>
        </w:tabs>
        <w:autoSpaceDE w:val="0"/>
        <w:autoSpaceDN w:val="0"/>
        <w:spacing w:before="120" w:after="0" w:line="240" w:lineRule="auto"/>
        <w:ind w:left="714" w:hanging="357"/>
        <w:contextualSpacing w:val="0"/>
        <w:jc w:val="both"/>
        <w:rPr>
          <w:rFonts w:ascii="Arial" w:hAnsi="Arial" w:cs="Arial"/>
        </w:rPr>
      </w:pPr>
      <w:r w:rsidRPr="004015B6">
        <w:rPr>
          <w:rFonts w:ascii="Arial" w:hAnsi="Arial" w:cs="Arial"/>
        </w:rPr>
        <w:t xml:space="preserve">DAF is implementing an Impact and Investment Framework that will meet legislated accountability requirements and position it to ensure that programs deliver impacts and represent good value for money. </w:t>
      </w:r>
    </w:p>
    <w:p w14:paraId="3AFC3700" w14:textId="50B548E7" w:rsidR="00442810" w:rsidRPr="004015B6" w:rsidRDefault="00442810" w:rsidP="00797137">
      <w:pPr>
        <w:pStyle w:val="ListParagraph"/>
        <w:widowControl w:val="0"/>
        <w:numPr>
          <w:ilvl w:val="1"/>
          <w:numId w:val="6"/>
        </w:numPr>
        <w:tabs>
          <w:tab w:val="left" w:pos="1060"/>
          <w:tab w:val="left" w:pos="1061"/>
        </w:tabs>
        <w:autoSpaceDE w:val="0"/>
        <w:autoSpaceDN w:val="0"/>
        <w:spacing w:before="120" w:after="0" w:line="240" w:lineRule="auto"/>
        <w:ind w:left="714" w:hanging="357"/>
        <w:contextualSpacing w:val="0"/>
        <w:jc w:val="both"/>
        <w:rPr>
          <w:rFonts w:ascii="Arial" w:hAnsi="Arial" w:cs="Arial"/>
        </w:rPr>
      </w:pPr>
      <w:r w:rsidRPr="004015B6">
        <w:rPr>
          <w:rFonts w:ascii="Arial" w:hAnsi="Arial" w:cs="Arial"/>
        </w:rPr>
        <w:t xml:space="preserve">The Biosecurity Investment Model under development will ensure BQ can allocate its investment to highest biosecurity risk and provide greater stakeholder </w:t>
      </w:r>
      <w:r w:rsidR="00380C84">
        <w:rPr>
          <w:rFonts w:ascii="Arial" w:hAnsi="Arial" w:cs="Arial"/>
        </w:rPr>
        <w:t xml:space="preserve">involvement in development of </w:t>
      </w:r>
      <w:r w:rsidRPr="004015B6">
        <w:rPr>
          <w:rFonts w:ascii="Arial" w:hAnsi="Arial" w:cs="Arial"/>
        </w:rPr>
        <w:t>decision</w:t>
      </w:r>
      <w:r w:rsidR="00380C84">
        <w:rPr>
          <w:rFonts w:ascii="Arial" w:hAnsi="Arial" w:cs="Arial"/>
        </w:rPr>
        <w:t xml:space="preserve"> making frameworks</w:t>
      </w:r>
      <w:r w:rsidR="00797137">
        <w:rPr>
          <w:rFonts w:ascii="Arial" w:hAnsi="Arial" w:cs="Arial"/>
        </w:rPr>
        <w:t>.</w:t>
      </w:r>
    </w:p>
    <w:p w14:paraId="78D6D2E3" w14:textId="77777777" w:rsidR="00442810" w:rsidRPr="004015B6" w:rsidRDefault="00442810" w:rsidP="00797137">
      <w:pPr>
        <w:pStyle w:val="ListParagraph"/>
        <w:widowControl w:val="0"/>
        <w:numPr>
          <w:ilvl w:val="1"/>
          <w:numId w:val="6"/>
        </w:numPr>
        <w:tabs>
          <w:tab w:val="left" w:pos="1060"/>
          <w:tab w:val="left" w:pos="1061"/>
        </w:tabs>
        <w:autoSpaceDE w:val="0"/>
        <w:autoSpaceDN w:val="0"/>
        <w:spacing w:before="120" w:after="0" w:line="240" w:lineRule="auto"/>
        <w:ind w:left="714" w:hanging="357"/>
        <w:contextualSpacing w:val="0"/>
        <w:jc w:val="both"/>
        <w:rPr>
          <w:rFonts w:ascii="Arial" w:hAnsi="Arial" w:cs="Arial"/>
        </w:rPr>
      </w:pPr>
      <w:r w:rsidRPr="004015B6">
        <w:rPr>
          <w:rFonts w:ascii="Arial" w:hAnsi="Arial" w:cs="Arial"/>
        </w:rPr>
        <w:t xml:space="preserve">A new Biosecurity Emergency Operations Group has been established to improve logistics and preparedness activities. </w:t>
      </w:r>
    </w:p>
    <w:p w14:paraId="341C3687" w14:textId="77777777" w:rsidR="008F718F" w:rsidRDefault="008F718F" w:rsidP="00797137">
      <w:pPr>
        <w:pStyle w:val="BodyText"/>
        <w:numPr>
          <w:ilvl w:val="0"/>
          <w:numId w:val="6"/>
        </w:numPr>
        <w:spacing w:before="240"/>
        <w:ind w:left="360"/>
      </w:pPr>
      <w:r w:rsidRPr="008F718F">
        <w:rPr>
          <w:u w:val="single"/>
        </w:rPr>
        <w:t>Cabinet approved</w:t>
      </w:r>
      <w:r w:rsidRPr="008F718F">
        <w:t xml:space="preserve"> release of the Queensland Biosecurity Strategy (2018-2023).</w:t>
      </w:r>
    </w:p>
    <w:p w14:paraId="6D53FD39" w14:textId="1A824230" w:rsidR="008F718F" w:rsidRPr="008F718F" w:rsidRDefault="008F718F" w:rsidP="00797137">
      <w:pPr>
        <w:pStyle w:val="BodyText"/>
        <w:numPr>
          <w:ilvl w:val="0"/>
          <w:numId w:val="6"/>
        </w:numPr>
        <w:spacing w:before="240"/>
        <w:ind w:left="360"/>
        <w:jc w:val="both"/>
      </w:pPr>
      <w:r w:rsidRPr="008F718F">
        <w:rPr>
          <w:u w:val="single"/>
        </w:rPr>
        <w:t>Cabinet approved</w:t>
      </w:r>
      <w:r w:rsidRPr="008F718F">
        <w:t xml:space="preserve"> tabling of the Government’s response to the Agriculture and Environment Committee report </w:t>
      </w:r>
      <w:r w:rsidR="00190C43">
        <w:t xml:space="preserve">No. 42 </w:t>
      </w:r>
      <w:r w:rsidRPr="008F718F">
        <w:t>on the Queensland Audit Office’s report on Biosecurity Queensland’s management of agriculture pests and diseases.</w:t>
      </w:r>
    </w:p>
    <w:p w14:paraId="3F0BB10C" w14:textId="77777777" w:rsidR="008F718F" w:rsidRPr="004015B6" w:rsidRDefault="008F718F" w:rsidP="00797137">
      <w:pPr>
        <w:pStyle w:val="ListParagraph"/>
        <w:widowControl w:val="0"/>
        <w:numPr>
          <w:ilvl w:val="0"/>
          <w:numId w:val="6"/>
        </w:numPr>
        <w:tabs>
          <w:tab w:val="left" w:pos="699"/>
        </w:tabs>
        <w:autoSpaceDE w:val="0"/>
        <w:autoSpaceDN w:val="0"/>
        <w:spacing w:before="360" w:after="0" w:line="240" w:lineRule="auto"/>
        <w:ind w:left="358" w:hanging="358"/>
        <w:contextualSpacing w:val="0"/>
        <w:jc w:val="both"/>
        <w:rPr>
          <w:rFonts w:ascii="Arial" w:hAnsi="Arial" w:cs="Arial"/>
          <w:i/>
        </w:rPr>
      </w:pPr>
      <w:r w:rsidRPr="004015B6">
        <w:rPr>
          <w:rFonts w:ascii="Arial" w:hAnsi="Arial" w:cs="Arial"/>
          <w:i/>
          <w:u w:val="single"/>
        </w:rPr>
        <w:t>Attachments</w:t>
      </w:r>
    </w:p>
    <w:p w14:paraId="4AC675A4" w14:textId="1B5FE448" w:rsidR="008F718F" w:rsidRPr="004015B6" w:rsidRDefault="00C21F31" w:rsidP="00797137">
      <w:pPr>
        <w:pStyle w:val="ListParagraph"/>
        <w:widowControl w:val="0"/>
        <w:numPr>
          <w:ilvl w:val="1"/>
          <w:numId w:val="6"/>
        </w:numPr>
        <w:tabs>
          <w:tab w:val="left" w:pos="1060"/>
          <w:tab w:val="left" w:pos="1061"/>
        </w:tabs>
        <w:autoSpaceDE w:val="0"/>
        <w:autoSpaceDN w:val="0"/>
        <w:spacing w:before="120" w:after="0" w:line="240" w:lineRule="auto"/>
        <w:ind w:left="714" w:hanging="357"/>
        <w:contextualSpacing w:val="0"/>
        <w:rPr>
          <w:rFonts w:ascii="Arial" w:hAnsi="Arial" w:cs="Arial"/>
        </w:rPr>
      </w:pPr>
      <w:hyperlink r:id="rId10" w:history="1">
        <w:r w:rsidR="008F718F" w:rsidRPr="00D43CDC">
          <w:rPr>
            <w:rStyle w:val="Hyperlink"/>
            <w:rFonts w:ascii="Arial" w:hAnsi="Arial" w:cs="Arial"/>
          </w:rPr>
          <w:t>Queensland Biosecurity Strategy: Our Next Five Years (2018 -</w:t>
        </w:r>
        <w:r w:rsidR="008F718F" w:rsidRPr="00D43CDC">
          <w:rPr>
            <w:rStyle w:val="Hyperlink"/>
            <w:rFonts w:ascii="Arial" w:hAnsi="Arial" w:cs="Arial"/>
            <w:spacing w:val="-16"/>
          </w:rPr>
          <w:t xml:space="preserve"> </w:t>
        </w:r>
        <w:r w:rsidR="008F718F" w:rsidRPr="00D43CDC">
          <w:rPr>
            <w:rStyle w:val="Hyperlink"/>
            <w:rFonts w:ascii="Arial" w:hAnsi="Arial" w:cs="Arial"/>
          </w:rPr>
          <w:t>2023)</w:t>
        </w:r>
      </w:hyperlink>
    </w:p>
    <w:p w14:paraId="3EFAAAE5" w14:textId="7CBF95F1" w:rsidR="000E1947" w:rsidRPr="004015B6" w:rsidRDefault="00C21F31" w:rsidP="00797137">
      <w:pPr>
        <w:pStyle w:val="ListParagraph"/>
        <w:widowControl w:val="0"/>
        <w:numPr>
          <w:ilvl w:val="1"/>
          <w:numId w:val="6"/>
        </w:numPr>
        <w:tabs>
          <w:tab w:val="left" w:pos="1060"/>
          <w:tab w:val="left" w:pos="1061"/>
        </w:tabs>
        <w:autoSpaceDE w:val="0"/>
        <w:autoSpaceDN w:val="0"/>
        <w:spacing w:before="120" w:after="0" w:line="240" w:lineRule="auto"/>
        <w:ind w:left="720"/>
        <w:contextualSpacing w:val="0"/>
        <w:rPr>
          <w:color w:val="000000"/>
          <w:lang w:eastAsia="en-AU"/>
        </w:rPr>
      </w:pPr>
      <w:hyperlink r:id="rId11" w:history="1">
        <w:r w:rsidR="008F718F" w:rsidRPr="00D43CDC">
          <w:rPr>
            <w:rStyle w:val="Hyperlink"/>
            <w:rFonts w:ascii="Arial" w:hAnsi="Arial" w:cs="Arial"/>
          </w:rPr>
          <w:t xml:space="preserve">Government’s final response to the </w:t>
        </w:r>
        <w:r w:rsidR="004015B6" w:rsidRPr="00D43CDC">
          <w:rPr>
            <w:rStyle w:val="Hyperlink"/>
            <w:rFonts w:ascii="Arial" w:hAnsi="Arial" w:cs="Arial"/>
          </w:rPr>
          <w:t xml:space="preserve">Agriculture and Environment Committee report </w:t>
        </w:r>
        <w:r w:rsidR="00190C43" w:rsidRPr="00D43CDC">
          <w:rPr>
            <w:rStyle w:val="Hyperlink"/>
            <w:rFonts w:ascii="Arial" w:hAnsi="Arial" w:cs="Arial"/>
          </w:rPr>
          <w:t>No. 42</w:t>
        </w:r>
      </w:hyperlink>
    </w:p>
    <w:sectPr w:rsidR="000E1947" w:rsidRPr="004015B6" w:rsidSect="0060585A">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0C380" w14:textId="77777777" w:rsidR="00B34EAF" w:rsidRDefault="00B34EAF" w:rsidP="00D6589B">
      <w:r>
        <w:separator/>
      </w:r>
    </w:p>
  </w:endnote>
  <w:endnote w:type="continuationSeparator" w:id="0">
    <w:p w14:paraId="36996112" w14:textId="77777777" w:rsidR="00B34EAF" w:rsidRDefault="00B34EAF"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EE392" w14:textId="77777777" w:rsidR="00B34EAF" w:rsidRDefault="00B34EAF" w:rsidP="00D6589B">
      <w:r>
        <w:separator/>
      </w:r>
    </w:p>
  </w:footnote>
  <w:footnote w:type="continuationSeparator" w:id="0">
    <w:p w14:paraId="6C9E680D" w14:textId="77777777" w:rsidR="00B34EAF" w:rsidRDefault="00B34EAF"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4B54E"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356C40FC"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1505E09C" w14:textId="57438C0D"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7A0346">
      <w:rPr>
        <w:rFonts w:ascii="Arial" w:hAnsi="Arial" w:cs="Arial"/>
        <w:b/>
        <w:color w:val="auto"/>
        <w:sz w:val="22"/>
        <w:szCs w:val="22"/>
        <w:lang w:eastAsia="en-US"/>
      </w:rPr>
      <w:t>Feb</w:t>
    </w:r>
    <w:r w:rsidR="00F975D8">
      <w:rPr>
        <w:rFonts w:ascii="Arial" w:hAnsi="Arial" w:cs="Arial"/>
        <w:b/>
        <w:color w:val="auto"/>
        <w:sz w:val="22"/>
        <w:szCs w:val="22"/>
        <w:lang w:eastAsia="en-US"/>
      </w:rPr>
      <w:t>ruary</w:t>
    </w:r>
    <w:r w:rsidR="007A0346">
      <w:rPr>
        <w:rFonts w:ascii="Arial" w:hAnsi="Arial" w:cs="Arial"/>
        <w:b/>
        <w:color w:val="auto"/>
        <w:sz w:val="22"/>
        <w:szCs w:val="22"/>
        <w:lang w:eastAsia="en-US"/>
      </w:rPr>
      <w:t xml:space="preserve"> 2018</w:t>
    </w:r>
  </w:p>
  <w:p w14:paraId="1D868B14" w14:textId="3E18B783" w:rsidR="00C237FD" w:rsidRPr="00C237FD" w:rsidRDefault="00190C43" w:rsidP="00987772">
    <w:pPr>
      <w:pStyle w:val="Header"/>
      <w:spacing w:before="120"/>
      <w:rPr>
        <w:rFonts w:ascii="Arial" w:hAnsi="Arial" w:cs="Arial"/>
        <w:b/>
        <w:sz w:val="22"/>
        <w:szCs w:val="22"/>
        <w:u w:val="single"/>
      </w:rPr>
    </w:pPr>
    <w:r>
      <w:rPr>
        <w:rFonts w:ascii="Arial" w:hAnsi="Arial" w:cs="Arial"/>
        <w:b/>
        <w:sz w:val="22"/>
        <w:szCs w:val="22"/>
        <w:u w:val="single"/>
      </w:rPr>
      <w:t>Queensland Biosecurity Strategy 2018-2023</w:t>
    </w:r>
    <w:r w:rsidR="0070457B" w:rsidRPr="0070457B">
      <w:rPr>
        <w:rFonts w:ascii="Arial" w:hAnsi="Arial" w:cs="Arial"/>
        <w:b/>
        <w:sz w:val="22"/>
        <w:szCs w:val="22"/>
        <w:u w:val="single"/>
      </w:rPr>
      <w:t xml:space="preserve"> and Government Response to Agricul</w:t>
    </w:r>
    <w:r>
      <w:rPr>
        <w:rFonts w:ascii="Arial" w:hAnsi="Arial" w:cs="Arial"/>
        <w:b/>
        <w:sz w:val="22"/>
        <w:szCs w:val="22"/>
        <w:u w:val="single"/>
      </w:rPr>
      <w:t>ture and Environment Committee R</w:t>
    </w:r>
    <w:r w:rsidR="0070457B" w:rsidRPr="0070457B">
      <w:rPr>
        <w:rFonts w:ascii="Arial" w:hAnsi="Arial" w:cs="Arial"/>
        <w:b/>
        <w:sz w:val="22"/>
        <w:szCs w:val="22"/>
        <w:u w:val="single"/>
      </w:rPr>
      <w:t xml:space="preserve">eport </w:t>
    </w:r>
    <w:r>
      <w:rPr>
        <w:rFonts w:ascii="Arial" w:hAnsi="Arial" w:cs="Arial"/>
        <w:b/>
        <w:sz w:val="22"/>
        <w:szCs w:val="22"/>
        <w:u w:val="single"/>
      </w:rPr>
      <w:t>No. 42</w:t>
    </w:r>
  </w:p>
  <w:p w14:paraId="4D923FE7" w14:textId="2B64CC8D" w:rsidR="00CB1501" w:rsidRDefault="00CB1501" w:rsidP="00D6589B">
    <w:pPr>
      <w:pStyle w:val="Header"/>
      <w:spacing w:before="120"/>
      <w:rPr>
        <w:rFonts w:ascii="Arial" w:hAnsi="Arial" w:cs="Arial"/>
        <w:b/>
        <w:sz w:val="22"/>
        <w:szCs w:val="22"/>
        <w:u w:val="single"/>
      </w:rPr>
    </w:pPr>
    <w:r>
      <w:rPr>
        <w:rFonts w:ascii="Arial" w:hAnsi="Arial" w:cs="Arial"/>
        <w:b/>
        <w:sz w:val="22"/>
        <w:szCs w:val="22"/>
        <w:u w:val="single"/>
      </w:rPr>
      <w:t>Minister</w:t>
    </w:r>
    <w:r w:rsidR="00280DCA">
      <w:rPr>
        <w:rFonts w:ascii="Arial" w:hAnsi="Arial" w:cs="Arial"/>
        <w:b/>
        <w:sz w:val="22"/>
        <w:szCs w:val="22"/>
        <w:u w:val="single"/>
      </w:rPr>
      <w:t xml:space="preserve"> </w:t>
    </w:r>
    <w:r w:rsidR="005474A6">
      <w:rPr>
        <w:rFonts w:ascii="Arial" w:hAnsi="Arial" w:cs="Arial"/>
        <w:b/>
        <w:sz w:val="22"/>
        <w:szCs w:val="22"/>
        <w:u w:val="single"/>
      </w:rPr>
      <w:t>for Agricultur</w:t>
    </w:r>
    <w:r w:rsidR="00561186">
      <w:rPr>
        <w:rFonts w:ascii="Arial" w:hAnsi="Arial" w:cs="Arial"/>
        <w:b/>
        <w:sz w:val="22"/>
        <w:szCs w:val="22"/>
        <w:u w:val="single"/>
      </w:rPr>
      <w:t>al</w:t>
    </w:r>
    <w:r w:rsidR="005474A6">
      <w:rPr>
        <w:rFonts w:ascii="Arial" w:hAnsi="Arial" w:cs="Arial"/>
        <w:b/>
        <w:sz w:val="22"/>
        <w:szCs w:val="22"/>
        <w:u w:val="single"/>
      </w:rPr>
      <w:t xml:space="preserve"> </w:t>
    </w:r>
    <w:r w:rsidR="007A0346">
      <w:rPr>
        <w:rFonts w:ascii="Arial" w:hAnsi="Arial" w:cs="Arial"/>
        <w:b/>
        <w:sz w:val="22"/>
        <w:szCs w:val="22"/>
        <w:u w:val="single"/>
      </w:rPr>
      <w:t xml:space="preserve">Industry Development and Fisheries </w:t>
    </w:r>
  </w:p>
  <w:p w14:paraId="7EAA5F40"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43F19"/>
    <w:multiLevelType w:val="hybridMultilevel"/>
    <w:tmpl w:val="AEB286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A2C38BE"/>
    <w:multiLevelType w:val="hybridMultilevel"/>
    <w:tmpl w:val="1B4A3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FB5CBC"/>
    <w:multiLevelType w:val="hybridMultilevel"/>
    <w:tmpl w:val="A2F873B8"/>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F240C9"/>
    <w:multiLevelType w:val="hybridMultilevel"/>
    <w:tmpl w:val="A5845F2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99432E9"/>
    <w:multiLevelType w:val="hybridMultilevel"/>
    <w:tmpl w:val="C8B43724"/>
    <w:lvl w:ilvl="0" w:tplc="D62A9A7A">
      <w:start w:val="1"/>
      <w:numFmt w:val="decimal"/>
      <w:lvlText w:val="%1."/>
      <w:lvlJc w:val="left"/>
      <w:pPr>
        <w:ind w:left="700" w:hanging="360"/>
      </w:pPr>
      <w:rPr>
        <w:rFonts w:ascii="Arial" w:eastAsia="Arial" w:hAnsi="Arial" w:cs="Arial" w:hint="default"/>
        <w:i w:val="0"/>
        <w:spacing w:val="-1"/>
        <w:w w:val="100"/>
        <w:sz w:val="22"/>
        <w:szCs w:val="22"/>
      </w:rPr>
    </w:lvl>
    <w:lvl w:ilvl="1" w:tplc="864A4910">
      <w:numFmt w:val="bullet"/>
      <w:lvlText w:val=""/>
      <w:lvlJc w:val="left"/>
      <w:pPr>
        <w:ind w:left="1060" w:hanging="360"/>
      </w:pPr>
      <w:rPr>
        <w:rFonts w:ascii="Symbol" w:eastAsia="Symbol" w:hAnsi="Symbol" w:cs="Symbol" w:hint="default"/>
        <w:w w:val="100"/>
        <w:sz w:val="22"/>
        <w:szCs w:val="22"/>
      </w:rPr>
    </w:lvl>
    <w:lvl w:ilvl="2" w:tplc="516E7924">
      <w:numFmt w:val="bullet"/>
      <w:lvlText w:val="•"/>
      <w:lvlJc w:val="left"/>
      <w:pPr>
        <w:ind w:left="2020" w:hanging="360"/>
      </w:pPr>
      <w:rPr>
        <w:rFonts w:hint="default"/>
      </w:rPr>
    </w:lvl>
    <w:lvl w:ilvl="3" w:tplc="DF3C8BEE">
      <w:numFmt w:val="bullet"/>
      <w:lvlText w:val="•"/>
      <w:lvlJc w:val="left"/>
      <w:pPr>
        <w:ind w:left="2981" w:hanging="360"/>
      </w:pPr>
      <w:rPr>
        <w:rFonts w:hint="default"/>
      </w:rPr>
    </w:lvl>
    <w:lvl w:ilvl="4" w:tplc="AA9EEDBC">
      <w:numFmt w:val="bullet"/>
      <w:lvlText w:val="•"/>
      <w:lvlJc w:val="left"/>
      <w:pPr>
        <w:ind w:left="3942" w:hanging="360"/>
      </w:pPr>
      <w:rPr>
        <w:rFonts w:hint="default"/>
      </w:rPr>
    </w:lvl>
    <w:lvl w:ilvl="5" w:tplc="F634B8F0">
      <w:numFmt w:val="bullet"/>
      <w:lvlText w:val="•"/>
      <w:lvlJc w:val="left"/>
      <w:pPr>
        <w:ind w:left="4902" w:hanging="360"/>
      </w:pPr>
      <w:rPr>
        <w:rFonts w:hint="default"/>
      </w:rPr>
    </w:lvl>
    <w:lvl w:ilvl="6" w:tplc="855A44DE">
      <w:numFmt w:val="bullet"/>
      <w:lvlText w:val="•"/>
      <w:lvlJc w:val="left"/>
      <w:pPr>
        <w:ind w:left="5863" w:hanging="360"/>
      </w:pPr>
      <w:rPr>
        <w:rFonts w:hint="default"/>
      </w:rPr>
    </w:lvl>
    <w:lvl w:ilvl="7" w:tplc="5F5E3536">
      <w:numFmt w:val="bullet"/>
      <w:lvlText w:val="•"/>
      <w:lvlJc w:val="left"/>
      <w:pPr>
        <w:ind w:left="6824" w:hanging="360"/>
      </w:pPr>
      <w:rPr>
        <w:rFonts w:hint="default"/>
      </w:rPr>
    </w:lvl>
    <w:lvl w:ilvl="8" w:tplc="EACC1336">
      <w:numFmt w:val="bullet"/>
      <w:lvlText w:val="•"/>
      <w:lvlJc w:val="left"/>
      <w:pPr>
        <w:ind w:left="7784" w:hanging="360"/>
      </w:pPr>
      <w:rPr>
        <w:rFonts w:hint="default"/>
      </w:rPr>
    </w:lvl>
  </w:abstractNum>
  <w:abstractNum w:abstractNumId="5" w15:restartNumberingAfterBreak="0">
    <w:nsid w:val="77427D55"/>
    <w:multiLevelType w:val="hybridMultilevel"/>
    <w:tmpl w:val="E79E3230"/>
    <w:lvl w:ilvl="0" w:tplc="B7A0238C">
      <w:start w:val="1"/>
      <w:numFmt w:val="bullet"/>
      <w:lvlText w:val=""/>
      <w:lvlJc w:val="left"/>
      <w:pPr>
        <w:tabs>
          <w:tab w:val="num" w:pos="1174"/>
        </w:tabs>
        <w:ind w:left="1174" w:hanging="454"/>
      </w:pPr>
      <w:rPr>
        <w:rFonts w:ascii="Symbol" w:hAnsi="Symbol" w:hint="default"/>
        <w:color w:val="auto"/>
        <w:sz w:val="23"/>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 w15:restartNumberingAfterBreak="0">
    <w:nsid w:val="7F176F87"/>
    <w:multiLevelType w:val="hybridMultilevel"/>
    <w:tmpl w:val="17962DC2"/>
    <w:lvl w:ilvl="0" w:tplc="F8DEE8CC">
      <w:start w:val="1"/>
      <w:numFmt w:val="decimal"/>
      <w:lvlText w:val="%1."/>
      <w:lvlJc w:val="left"/>
      <w:pPr>
        <w:tabs>
          <w:tab w:val="num" w:pos="720"/>
        </w:tabs>
        <w:ind w:left="720" w:hanging="360"/>
      </w:pPr>
      <w:rPr>
        <w:i w:val="0"/>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7FA76DA1"/>
    <w:multiLevelType w:val="hybridMultilevel"/>
    <w:tmpl w:val="2BCCB990"/>
    <w:lvl w:ilvl="0" w:tplc="0C090001">
      <w:start w:val="1"/>
      <w:numFmt w:val="bullet"/>
      <w:lvlText w:val=""/>
      <w:lvlJc w:val="left"/>
      <w:pPr>
        <w:ind w:left="700" w:hanging="360"/>
      </w:pPr>
      <w:rPr>
        <w:rFonts w:ascii="Symbol" w:hAnsi="Symbol" w:hint="default"/>
        <w:spacing w:val="-1"/>
        <w:w w:val="100"/>
        <w:sz w:val="22"/>
        <w:szCs w:val="22"/>
      </w:rPr>
    </w:lvl>
    <w:lvl w:ilvl="1" w:tplc="864A4910">
      <w:numFmt w:val="bullet"/>
      <w:lvlText w:val=""/>
      <w:lvlJc w:val="left"/>
      <w:pPr>
        <w:ind w:left="1060" w:hanging="360"/>
      </w:pPr>
      <w:rPr>
        <w:rFonts w:ascii="Symbol" w:eastAsia="Symbol" w:hAnsi="Symbol" w:cs="Symbol" w:hint="default"/>
        <w:w w:val="100"/>
        <w:sz w:val="22"/>
        <w:szCs w:val="22"/>
      </w:rPr>
    </w:lvl>
    <w:lvl w:ilvl="2" w:tplc="516E7924">
      <w:numFmt w:val="bullet"/>
      <w:lvlText w:val="•"/>
      <w:lvlJc w:val="left"/>
      <w:pPr>
        <w:ind w:left="2020" w:hanging="360"/>
      </w:pPr>
      <w:rPr>
        <w:rFonts w:hint="default"/>
      </w:rPr>
    </w:lvl>
    <w:lvl w:ilvl="3" w:tplc="DF3C8BEE">
      <w:numFmt w:val="bullet"/>
      <w:lvlText w:val="•"/>
      <w:lvlJc w:val="left"/>
      <w:pPr>
        <w:ind w:left="2981" w:hanging="360"/>
      </w:pPr>
      <w:rPr>
        <w:rFonts w:hint="default"/>
      </w:rPr>
    </w:lvl>
    <w:lvl w:ilvl="4" w:tplc="AA9EEDBC">
      <w:numFmt w:val="bullet"/>
      <w:lvlText w:val="•"/>
      <w:lvlJc w:val="left"/>
      <w:pPr>
        <w:ind w:left="3942" w:hanging="360"/>
      </w:pPr>
      <w:rPr>
        <w:rFonts w:hint="default"/>
      </w:rPr>
    </w:lvl>
    <w:lvl w:ilvl="5" w:tplc="F634B8F0">
      <w:numFmt w:val="bullet"/>
      <w:lvlText w:val="•"/>
      <w:lvlJc w:val="left"/>
      <w:pPr>
        <w:ind w:left="4902" w:hanging="360"/>
      </w:pPr>
      <w:rPr>
        <w:rFonts w:hint="default"/>
      </w:rPr>
    </w:lvl>
    <w:lvl w:ilvl="6" w:tplc="855A44DE">
      <w:numFmt w:val="bullet"/>
      <w:lvlText w:val="•"/>
      <w:lvlJc w:val="left"/>
      <w:pPr>
        <w:ind w:left="5863" w:hanging="360"/>
      </w:pPr>
      <w:rPr>
        <w:rFonts w:hint="default"/>
      </w:rPr>
    </w:lvl>
    <w:lvl w:ilvl="7" w:tplc="5F5E3536">
      <w:numFmt w:val="bullet"/>
      <w:lvlText w:val="•"/>
      <w:lvlJc w:val="left"/>
      <w:pPr>
        <w:ind w:left="6824" w:hanging="360"/>
      </w:pPr>
      <w:rPr>
        <w:rFonts w:hint="default"/>
      </w:rPr>
    </w:lvl>
    <w:lvl w:ilvl="8" w:tplc="EACC1336">
      <w:numFmt w:val="bullet"/>
      <w:lvlText w:val="•"/>
      <w:lvlJc w:val="left"/>
      <w:pPr>
        <w:ind w:left="7784" w:hanging="360"/>
      </w:pPr>
      <w:rPr>
        <w:rFonts w:hint="default"/>
      </w:rPr>
    </w:lvl>
  </w:abstractNum>
  <w:num w:numId="1">
    <w:abstractNumId w:val="6"/>
  </w:num>
  <w:num w:numId="2">
    <w:abstractNumId w:val="5"/>
  </w:num>
  <w:num w:numId="3">
    <w:abstractNumId w:val="2"/>
  </w:num>
  <w:num w:numId="4">
    <w:abstractNumId w:val="1"/>
  </w:num>
  <w:num w:numId="5">
    <w:abstractNumId w:val="3"/>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DCA"/>
    <w:rsid w:val="000035ED"/>
    <w:rsid w:val="0007670F"/>
    <w:rsid w:val="00080F8F"/>
    <w:rsid w:val="000B5A80"/>
    <w:rsid w:val="000C3D54"/>
    <w:rsid w:val="000E1947"/>
    <w:rsid w:val="0010384C"/>
    <w:rsid w:val="0013539E"/>
    <w:rsid w:val="00152095"/>
    <w:rsid w:val="00174117"/>
    <w:rsid w:val="001828B8"/>
    <w:rsid w:val="0018410C"/>
    <w:rsid w:val="00190C43"/>
    <w:rsid w:val="001E72B2"/>
    <w:rsid w:val="001F689C"/>
    <w:rsid w:val="00237917"/>
    <w:rsid w:val="00261FDF"/>
    <w:rsid w:val="00280DCA"/>
    <w:rsid w:val="002948A0"/>
    <w:rsid w:val="0034156D"/>
    <w:rsid w:val="00380C84"/>
    <w:rsid w:val="00393120"/>
    <w:rsid w:val="003A3BDD"/>
    <w:rsid w:val="003D7EDE"/>
    <w:rsid w:val="004015B6"/>
    <w:rsid w:val="0043543B"/>
    <w:rsid w:val="00442810"/>
    <w:rsid w:val="004D761B"/>
    <w:rsid w:val="004E4656"/>
    <w:rsid w:val="00501C66"/>
    <w:rsid w:val="00505F78"/>
    <w:rsid w:val="005474A6"/>
    <w:rsid w:val="00550873"/>
    <w:rsid w:val="00561186"/>
    <w:rsid w:val="0059455A"/>
    <w:rsid w:val="0060585A"/>
    <w:rsid w:val="006E155B"/>
    <w:rsid w:val="0070457B"/>
    <w:rsid w:val="0070482C"/>
    <w:rsid w:val="00710086"/>
    <w:rsid w:val="00723640"/>
    <w:rsid w:val="00725F9D"/>
    <w:rsid w:val="007265D0"/>
    <w:rsid w:val="00732E22"/>
    <w:rsid w:val="00741C20"/>
    <w:rsid w:val="0075362B"/>
    <w:rsid w:val="007738DB"/>
    <w:rsid w:val="00797137"/>
    <w:rsid w:val="007A0346"/>
    <w:rsid w:val="007B6E23"/>
    <w:rsid w:val="007F44F4"/>
    <w:rsid w:val="0080055A"/>
    <w:rsid w:val="00813159"/>
    <w:rsid w:val="00822397"/>
    <w:rsid w:val="0086409F"/>
    <w:rsid w:val="00865BE2"/>
    <w:rsid w:val="00881241"/>
    <w:rsid w:val="008F718F"/>
    <w:rsid w:val="00904077"/>
    <w:rsid w:val="00915BEE"/>
    <w:rsid w:val="00937A4A"/>
    <w:rsid w:val="00987772"/>
    <w:rsid w:val="009A4A9C"/>
    <w:rsid w:val="00A03204"/>
    <w:rsid w:val="00B34EAF"/>
    <w:rsid w:val="00B641F8"/>
    <w:rsid w:val="00B95A06"/>
    <w:rsid w:val="00C21F31"/>
    <w:rsid w:val="00C237FD"/>
    <w:rsid w:val="00C75E67"/>
    <w:rsid w:val="00C810B4"/>
    <w:rsid w:val="00C856CB"/>
    <w:rsid w:val="00C8647F"/>
    <w:rsid w:val="00CB1501"/>
    <w:rsid w:val="00CD7885"/>
    <w:rsid w:val="00CD7A50"/>
    <w:rsid w:val="00CF0D8A"/>
    <w:rsid w:val="00D361CD"/>
    <w:rsid w:val="00D43CDC"/>
    <w:rsid w:val="00D6589B"/>
    <w:rsid w:val="00D82ADC"/>
    <w:rsid w:val="00DE78E2"/>
    <w:rsid w:val="00E17661"/>
    <w:rsid w:val="00E32554"/>
    <w:rsid w:val="00E40A55"/>
    <w:rsid w:val="00E46DC1"/>
    <w:rsid w:val="00ED3EFD"/>
    <w:rsid w:val="00F129FF"/>
    <w:rsid w:val="00F13162"/>
    <w:rsid w:val="00F24A8A"/>
    <w:rsid w:val="00F45B99"/>
    <w:rsid w:val="00F749D1"/>
    <w:rsid w:val="00F94D48"/>
    <w:rsid w:val="00F975D8"/>
    <w:rsid w:val="00FC53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22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C237FD"/>
    <w:pPr>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StyleItalicBlue">
    <w:name w:val="Style Italic Blue"/>
    <w:semiHidden/>
    <w:rsid w:val="007B6E23"/>
    <w:rPr>
      <w:i/>
      <w:iCs/>
      <w:color w:val="0000FF"/>
    </w:rPr>
  </w:style>
  <w:style w:type="paragraph" w:customStyle="1" w:styleId="Default">
    <w:name w:val="Default"/>
    <w:rsid w:val="000E1947"/>
    <w:pPr>
      <w:autoSpaceDE w:val="0"/>
      <w:autoSpaceDN w:val="0"/>
      <w:adjustRightInd w:val="0"/>
    </w:pPr>
    <w:rPr>
      <w:rFonts w:eastAsia="Times New Roman" w:cs="Calibri"/>
      <w:color w:val="000000"/>
      <w:sz w:val="24"/>
      <w:szCs w:val="24"/>
    </w:rPr>
  </w:style>
  <w:style w:type="character" w:styleId="CommentReference">
    <w:name w:val="annotation reference"/>
    <w:basedOn w:val="DefaultParagraphFont"/>
    <w:uiPriority w:val="99"/>
    <w:semiHidden/>
    <w:unhideWhenUsed/>
    <w:rsid w:val="0080055A"/>
    <w:rPr>
      <w:sz w:val="16"/>
      <w:szCs w:val="16"/>
    </w:rPr>
  </w:style>
  <w:style w:type="paragraph" w:styleId="CommentText">
    <w:name w:val="annotation text"/>
    <w:basedOn w:val="Normal"/>
    <w:link w:val="CommentTextChar"/>
    <w:uiPriority w:val="99"/>
    <w:semiHidden/>
    <w:unhideWhenUsed/>
    <w:rsid w:val="0080055A"/>
    <w:rPr>
      <w:sz w:val="20"/>
    </w:rPr>
  </w:style>
  <w:style w:type="character" w:customStyle="1" w:styleId="CommentTextChar">
    <w:name w:val="Comment Text Char"/>
    <w:basedOn w:val="DefaultParagraphFont"/>
    <w:link w:val="CommentText"/>
    <w:uiPriority w:val="99"/>
    <w:semiHidden/>
    <w:rsid w:val="0080055A"/>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80055A"/>
    <w:rPr>
      <w:b/>
      <w:bCs/>
    </w:rPr>
  </w:style>
  <w:style w:type="character" w:customStyle="1" w:styleId="CommentSubjectChar">
    <w:name w:val="Comment Subject Char"/>
    <w:basedOn w:val="CommentTextChar"/>
    <w:link w:val="CommentSubject"/>
    <w:uiPriority w:val="99"/>
    <w:semiHidden/>
    <w:rsid w:val="0080055A"/>
    <w:rPr>
      <w:rFonts w:ascii="Times New Roman" w:eastAsia="Times New Roman" w:hAnsi="Times New Roman"/>
      <w:b/>
      <w:bCs/>
      <w:color w:val="000000"/>
    </w:rPr>
  </w:style>
  <w:style w:type="paragraph" w:styleId="BodyText">
    <w:name w:val="Body Text"/>
    <w:basedOn w:val="Normal"/>
    <w:link w:val="BodyTextChar"/>
    <w:uiPriority w:val="1"/>
    <w:qFormat/>
    <w:rsid w:val="008F718F"/>
    <w:pPr>
      <w:widowControl w:val="0"/>
      <w:autoSpaceDE w:val="0"/>
      <w:autoSpaceDN w:val="0"/>
    </w:pPr>
    <w:rPr>
      <w:rFonts w:ascii="Arial" w:eastAsia="Arial" w:hAnsi="Arial" w:cs="Arial"/>
      <w:color w:val="auto"/>
      <w:sz w:val="22"/>
      <w:szCs w:val="22"/>
      <w:lang w:val="en-US" w:eastAsia="en-US"/>
    </w:rPr>
  </w:style>
  <w:style w:type="character" w:customStyle="1" w:styleId="BodyTextChar">
    <w:name w:val="Body Text Char"/>
    <w:basedOn w:val="DefaultParagraphFont"/>
    <w:link w:val="BodyText"/>
    <w:uiPriority w:val="1"/>
    <w:rsid w:val="008F718F"/>
    <w:rPr>
      <w:rFonts w:ascii="Arial" w:eastAsia="Arial" w:hAnsi="Arial" w:cs="Arial"/>
      <w:sz w:val="22"/>
      <w:szCs w:val="22"/>
      <w:lang w:val="en-US" w:eastAsia="en-US"/>
    </w:rPr>
  </w:style>
  <w:style w:type="character" w:styleId="Hyperlink">
    <w:name w:val="Hyperlink"/>
    <w:basedOn w:val="DefaultParagraphFont"/>
    <w:uiPriority w:val="99"/>
    <w:unhideWhenUsed/>
    <w:rsid w:val="00D43C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65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Response.PDF" TargetMode="External"/><Relationship Id="rId5" Type="http://schemas.openxmlformats.org/officeDocument/2006/relationships/styles" Target="styles.xml"/><Relationship Id="rId10" Type="http://schemas.openxmlformats.org/officeDocument/2006/relationships/hyperlink" Target="Attachments/Strateg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0" ma:contentTypeDescription="Create a new document." ma:contentTypeScope="" ma:versionID="cc3392f2e36a357eb8e0964393a12d1b">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DF860BA1-DBA4-4F8D-A28A-6E628886B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Cabinet Submission - Attachment - Proactive Release Summary.dotx</Template>
  <TotalTime>29</TotalTime>
  <Pages>1</Pages>
  <Words>388</Words>
  <Characters>2305</Characters>
  <Application>Microsoft Office Word</Application>
  <DocSecurity>0</DocSecurity>
  <Lines>35</Lines>
  <Paragraphs>14</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2688</CharactersWithSpaces>
  <SharedDoc>false</SharedDoc>
  <HyperlinkBase>https://www.cabinet.qld.gov.au/documents/2018/Feb/BioSecrep/</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8</cp:revision>
  <cp:lastPrinted>2018-04-11T06:51:00Z</cp:lastPrinted>
  <dcterms:created xsi:type="dcterms:W3CDTF">2018-03-27T22:36:00Z</dcterms:created>
  <dcterms:modified xsi:type="dcterms:W3CDTF">2019-12-11T09:11:00Z</dcterms:modified>
  <cp:category>Biosecurity,Primary_Industries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ies>
</file>